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1" w:rsidRDefault="000D7A41" w:rsidP="000D7A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Grada Zenice po pitanju predmetnog javnog poziva su: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Komisije za bodovanje prijavljenih objekata,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Obezbjeđivanje finansijskog udjela u iznosu predviđenom u projektu prema troškovniku radova odabranog projekta (ne više od 50 % vrijednosti projekta),</w:t>
      </w:r>
    </w:p>
    <w:p w:rsidR="000D7A41" w:rsidRDefault="000D7A41" w:rsidP="000D7A41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color w:val="000000"/>
        </w:rPr>
        <w:t>Odabir i plaćanje nadzora radova.</w:t>
      </w:r>
    </w:p>
    <w:p w:rsidR="000D7A41" w:rsidRDefault="000D7A41" w:rsidP="000D7A4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0D7A41" w:rsidRDefault="000D7A41" w:rsidP="000D7A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</w:rPr>
        <w:t xml:space="preserve">Komisija će razmatrati projekte zaprimljene na osnovu javnog poziva, cijeniti ispunjenost zahtjeva i kriterija za odobravanje, te zapisnik s obrazloženom ocjenom i mišljenjem dostaviti Gradonačelniku koji će donjeti </w:t>
      </w:r>
      <w:r>
        <w:rPr>
          <w:rFonts w:ascii="Times New Roman" w:eastAsia="Times New Roman" w:hAnsi="Times New Roman" w:cs="Times New Roman"/>
          <w:lang w:eastAsia="bs-Latn-BA"/>
        </w:rPr>
        <w:t>Odluku o odobravanju i dodjeli sredstava namijenjenih finansiranju troškova.</w:t>
      </w:r>
    </w:p>
    <w:p w:rsidR="000D7A41" w:rsidRDefault="000D7A41" w:rsidP="000D7A41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Projekti će se ocjenjivati prema sljedećim kriterijima: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Starost zgrade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preko 50 godina – 30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40 – 50 godina –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od 30 – 40 godina – 10 bodova,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Zgrade stare manje od 30 godina –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Iznos učešća stanara u sufinansiranju projekta (maksimalno 30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50 -60 posto -10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60 -70 posto -20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Učestvovanje u iznosu od 70 -80 posto -30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FFFFFF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Većina zamijenjene stolarije na fasadnim otvorima (20 bodova):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manje od 50 posto  - 0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50-60 posto  - 5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60-70 posto  - 10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70-80 posto  - 15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Stolarija zamijenjena u iznosu od više od 80 posto  - 20 bodova,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i/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- Po</w:t>
      </w:r>
      <w:r w:rsidR="00AF4741">
        <w:rPr>
          <w:rFonts w:ascii="Times New Roman" w:eastAsia="Times New Roman" w:hAnsi="Times New Roman" w:cs="Times New Roman"/>
          <w:bCs/>
          <w:i/>
          <w:color w:val="000000"/>
        </w:rPr>
        <w:t>sjedovanje energetskog audita (10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 bodova): </w:t>
      </w:r>
    </w:p>
    <w:p w:rsidR="000D7A41" w:rsidRDefault="000D7A41" w:rsidP="000D7A41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-  Aplikant ne posjeduje izrađen energetski audit – 0 bodova,</w:t>
      </w:r>
    </w:p>
    <w:p w:rsidR="000D7A41" w:rsidRDefault="000D7A41" w:rsidP="000D7A41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-  Aplikant posjedu</w:t>
      </w:r>
      <w:r w:rsidR="00AF4741">
        <w:rPr>
          <w:rFonts w:ascii="Times New Roman" w:eastAsia="Times New Roman" w:hAnsi="Times New Roman" w:cs="Times New Roman"/>
          <w:bCs/>
          <w:color w:val="000000"/>
        </w:rPr>
        <w:t xml:space="preserve">je izrađen energetski audit – 10 </w:t>
      </w:r>
      <w:r>
        <w:rPr>
          <w:rFonts w:ascii="Times New Roman" w:eastAsia="Times New Roman" w:hAnsi="Times New Roman" w:cs="Times New Roman"/>
          <w:bCs/>
          <w:color w:val="000000"/>
        </w:rPr>
        <w:t>bodova.</w:t>
      </w:r>
    </w:p>
    <w:p w:rsidR="000D7A41" w:rsidRDefault="000D7A41" w:rsidP="0027541A">
      <w:pPr>
        <w:pStyle w:val="ListParagraph"/>
        <w:spacing w:after="0"/>
        <w:ind w:left="714"/>
        <w:rPr>
          <w:rFonts w:ascii="Times New Roman" w:eastAsia="Times New Roman" w:hAnsi="Times New Roman" w:cs="Times New Roman"/>
          <w:bCs/>
          <w:color w:val="000000"/>
        </w:rPr>
      </w:pPr>
    </w:p>
    <w:p w:rsidR="000D7A41" w:rsidRDefault="000D7A41" w:rsidP="000D7A41">
      <w:pPr>
        <w:spacing w:after="0"/>
        <w:rPr>
          <w:rFonts w:ascii="Times New Roman" w:eastAsia="Times New Roman" w:hAnsi="Times New Roman" w:cs="Times New Roman"/>
          <w:bCs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Dodatni kriteriji po LOT-ovima: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D7A41" w:rsidTr="000D7A41">
        <w:tc>
          <w:tcPr>
            <w:tcW w:w="4644" w:type="dxa"/>
            <w:hideMark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LOT 1. </w:t>
            </w:r>
          </w:p>
        </w:tc>
        <w:tc>
          <w:tcPr>
            <w:tcW w:w="4644" w:type="dxa"/>
            <w:hideMark/>
          </w:tcPr>
          <w:p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0D7A41">
              <w:rPr>
                <w:rFonts w:ascii="Times New Roman" w:eastAsia="Times New Roman" w:hAnsi="Times New Roman" w:cs="Times New Roman"/>
              </w:rPr>
              <w:t>LOT 2.</w:t>
            </w:r>
          </w:p>
        </w:tc>
      </w:tr>
      <w:tr w:rsidR="000D7A41" w:rsidTr="000D7A41">
        <w:tc>
          <w:tcPr>
            <w:tcW w:w="4644" w:type="dxa"/>
          </w:tcPr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u funkcionalnom stanju –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10 bodova,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Krov nije u funkcionalnom  </w:t>
            </w:r>
          </w:p>
          <w:p w:rsidR="000D7A41" w:rsidRDefault="000D7A41" w:rsidP="008C4CCE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  <w:tab w:val="num" w:pos="1560"/>
              </w:tabs>
              <w:spacing w:after="0" w:line="240" w:lineRule="auto"/>
              <w:ind w:left="12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stanju- 0 bodova.</w:t>
            </w:r>
          </w:p>
        </w:tc>
        <w:tc>
          <w:tcPr>
            <w:tcW w:w="4644" w:type="dxa"/>
          </w:tcPr>
          <w:p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- </w:t>
            </w:r>
            <w:r w:rsidR="000D7A41">
              <w:rPr>
                <w:rFonts w:ascii="Times New Roman" w:eastAsia="Times New Roman" w:hAnsi="Times New Roman" w:cs="Times New Roman"/>
              </w:rPr>
              <w:t xml:space="preserve"> </w:t>
            </w:r>
            <w:r w:rsidRPr="00016952">
              <w:rPr>
                <w:rFonts w:ascii="Times New Roman" w:eastAsia="Times New Roman" w:hAnsi="Times New Roman" w:cs="Times New Roman"/>
                <w:i/>
              </w:rPr>
              <w:t>Stanje krovne konstrukcije (10 bodova):</w:t>
            </w:r>
          </w:p>
          <w:p w:rsidR="000D7A41" w:rsidRDefault="000D7A4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16952" w:rsidRPr="00016952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695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 - </w:t>
            </w:r>
            <w:r w:rsidRPr="00016952">
              <w:rPr>
                <w:rFonts w:ascii="Times New Roman" w:eastAsia="Times New Roman" w:hAnsi="Times New Roman" w:cs="Times New Roman"/>
              </w:rPr>
              <w:t xml:space="preserve">Krov u funkcionalnom stanju – </w:t>
            </w:r>
          </w:p>
          <w:p w:rsidR="000D7A41" w:rsidRDefault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0D7A41">
              <w:rPr>
                <w:rFonts w:ascii="Times New Roman" w:eastAsia="Times New Roman" w:hAnsi="Times New Roman" w:cs="Times New Roman"/>
              </w:rPr>
              <w:t>0 bodova,</w:t>
            </w:r>
          </w:p>
          <w:p w:rsidR="00016952" w:rsidRDefault="000D7A41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- </w:t>
            </w:r>
            <w:r w:rsidR="00016952">
              <w:rPr>
                <w:rFonts w:ascii="Times New Roman" w:eastAsia="Times New Roman" w:hAnsi="Times New Roman" w:cs="Times New Roman"/>
              </w:rPr>
              <w:t>Krov nije u funkcionalnom stanju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D7A41" w:rsidRDefault="00016952" w:rsidP="0001695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1</w:t>
            </w:r>
            <w:r w:rsidR="000D7A41">
              <w:rPr>
                <w:rFonts w:ascii="Times New Roman" w:eastAsia="Times New Roman" w:hAnsi="Times New Roman" w:cs="Times New Roman"/>
              </w:rPr>
              <w:t>0 bodova.</w:t>
            </w:r>
          </w:p>
        </w:tc>
      </w:tr>
    </w:tbl>
    <w:p w:rsid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18472F" w:rsidRDefault="0018472F" w:rsidP="0018472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8472F">
        <w:rPr>
          <w:rFonts w:ascii="Times New Roman" w:eastAsia="Times New Roman" w:hAnsi="Times New Roman" w:cs="Times New Roman"/>
          <w:bCs/>
          <w:color w:val="000000"/>
        </w:rPr>
        <w:t>Za objekte kolektivnog stanovanja koji budu imali isti broj bodova na rang listi, pre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dnost će imati objekat sa većim </w:t>
      </w:r>
      <w:r w:rsidRPr="0018472F">
        <w:rPr>
          <w:rFonts w:ascii="Times New Roman" w:eastAsia="Times New Roman" w:hAnsi="Times New Roman" w:cs="Times New Roman"/>
          <w:bCs/>
          <w:color w:val="000000"/>
        </w:rPr>
        <w:t>procentom saglasnih stanara (više potpisa) za učešće, te prijave uz koje se, pored obavezne dokumentacije, dostavi i dokaz o već osiguranim finansijskim sredstvima za finansiranje 50 % projekta.</w:t>
      </w:r>
    </w:p>
    <w:p w:rsidR="0018472F" w:rsidRPr="0018472F" w:rsidRDefault="0018472F" w:rsidP="000D7A41">
      <w:pPr>
        <w:spacing w:after="0"/>
        <w:rPr>
          <w:rFonts w:ascii="Times New Roman" w:eastAsia="Times New Roman" w:hAnsi="Times New Roman" w:cs="Times New Roman"/>
          <w:bCs/>
          <w:color w:val="000000"/>
          <w:sz w:val="16"/>
        </w:rPr>
      </w:pPr>
    </w:p>
    <w:p w:rsidR="000D7A41" w:rsidRDefault="000D7A41" w:rsidP="007F0AE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</w:rPr>
        <w:t xml:space="preserve">Po odabiru, Ugovor se zaključuje između Grada Zenice i upravitelja, ili Grada Zenice i  predstavnika etažnih vlasnika. Grad vrši isplatu dodijeljenih sredstava upravitelju na osnovu izvještaja nadzornog organa i pregleda završenih radova. </w:t>
      </w:r>
      <w:r>
        <w:rPr>
          <w:rFonts w:ascii="Times New Roman" w:eastAsia="Times New Roman" w:hAnsi="Times New Roman"/>
          <w:lang w:eastAsia="bs-Latn-BA"/>
        </w:rPr>
        <w:t>Rok prikupljanja sredstava kojim stanari sufinanciraju</w:t>
      </w:r>
      <w:r w:rsidR="007F0AE2">
        <w:rPr>
          <w:rFonts w:ascii="Times New Roman" w:eastAsia="Times New Roman" w:hAnsi="Times New Roman"/>
          <w:lang w:eastAsia="bs-Latn-BA"/>
        </w:rPr>
        <w:t xml:space="preserve"> projekat izrade termo-izolacione fasade, je 30 dana od dana </w:t>
      </w:r>
      <w:r>
        <w:rPr>
          <w:rFonts w:ascii="Times New Roman" w:eastAsia="Times New Roman" w:hAnsi="Times New Roman"/>
          <w:lang w:eastAsia="bs-Latn-BA"/>
        </w:rPr>
        <w:t>odabira objekta zajedničkog stanovanja za koji će se vršiti implementacija projekta.</w:t>
      </w:r>
      <w:r>
        <w:rPr>
          <w:rFonts w:ascii="Times New Roman" w:eastAsia="Times New Roman" w:hAnsi="Times New Roman" w:cs="Times New Roman"/>
        </w:rPr>
        <w:t xml:space="preserve"> Ukoliko se finansijska sredstva ne prikupe u prethodno određenom vremenskom roku smatrat će se da je taj korisnik odustao od programa. </w:t>
      </w:r>
    </w:p>
    <w:p w:rsidR="000D7A41" w:rsidRDefault="000D7A41" w:rsidP="000D7A41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Obaveze potencijalnih korisnika programa su:</w:t>
      </w:r>
    </w:p>
    <w:p w:rsidR="007F0AE2" w:rsidRPr="007F0AE2" w:rsidRDefault="000D7A41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</w:t>
      </w:r>
      <w:r w:rsidR="007F0AE2" w:rsidRPr="007F0AE2">
        <w:t xml:space="preserve"> </w:t>
      </w:r>
      <w:r w:rsidR="007F0AE2">
        <w:t xml:space="preserve">popunjenog </w:t>
      </w:r>
      <w:r w:rsidR="007F0AE2">
        <w:rPr>
          <w:rFonts w:ascii="Times New Roman" w:eastAsia="Times New Roman" w:hAnsi="Times New Roman" w:cs="Times New Roman"/>
          <w:color w:val="000000"/>
        </w:rPr>
        <w:t>prijavnog obrasca</w:t>
      </w:r>
      <w:r w:rsidR="007F0AE2" w:rsidRPr="007F0AE2">
        <w:rPr>
          <w:rFonts w:ascii="Times New Roman" w:eastAsia="Times New Roman" w:hAnsi="Times New Roman" w:cs="Times New Roman"/>
          <w:color w:val="000000"/>
        </w:rPr>
        <w:t xml:space="preserve"> – ovjeren</w:t>
      </w:r>
      <w:r w:rsidR="007F0AE2">
        <w:rPr>
          <w:rFonts w:ascii="Times New Roman" w:eastAsia="Times New Roman" w:hAnsi="Times New Roman" w:cs="Times New Roman"/>
          <w:color w:val="000000"/>
        </w:rPr>
        <w:t>og od strane podnosioca prijave (pečat Odbora ili upravitelja)</w:t>
      </w:r>
    </w:p>
    <w:p w:rsidR="007F0AE2" w:rsidRP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c</w:t>
      </w:r>
      <w:r w:rsidRPr="007F0AE2">
        <w:rPr>
          <w:rFonts w:ascii="Times New Roman" w:eastAsia="Times New Roman" w:hAnsi="Times New Roman" w:cs="Times New Roman"/>
          <w:color w:val="000000"/>
        </w:rPr>
        <w:t>ertifikat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registraciji za obavljanje djelatnosti održavanja zgrade </w:t>
      </w:r>
      <w:r>
        <w:rPr>
          <w:rFonts w:ascii="Times New Roman" w:eastAsia="Times New Roman" w:hAnsi="Times New Roman" w:cs="Times New Roman"/>
          <w:color w:val="000000"/>
        </w:rPr>
        <w:t>i</w:t>
      </w:r>
      <w:r w:rsidRPr="007F0AE2"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Ugovor</w:t>
      </w:r>
      <w:r>
        <w:rPr>
          <w:rFonts w:ascii="Times New Roman" w:eastAsia="Times New Roman" w:hAnsi="Times New Roman" w:cs="Times New Roman"/>
          <w:color w:val="000000"/>
        </w:rPr>
        <w:t>a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održavanju </w:t>
      </w:r>
      <w:r>
        <w:rPr>
          <w:rFonts w:ascii="Times New Roman" w:eastAsia="Times New Roman" w:hAnsi="Times New Roman" w:cs="Times New Roman"/>
          <w:color w:val="000000"/>
        </w:rPr>
        <w:t xml:space="preserve">koji je </w:t>
      </w:r>
      <w:r w:rsidRPr="007F0AE2">
        <w:rPr>
          <w:rFonts w:ascii="Times New Roman" w:eastAsia="Times New Roman" w:hAnsi="Times New Roman" w:cs="Times New Roman"/>
          <w:color w:val="000000"/>
        </w:rPr>
        <w:t>sklopljen sa etažnim vlasnicima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F0AE2">
        <w:rPr>
          <w:rFonts w:ascii="Times New Roman" w:eastAsia="Times New Roman" w:hAnsi="Times New Roman" w:cs="Times New Roman"/>
          <w:color w:val="000000"/>
        </w:rPr>
        <w:t>(važi samo za upravitelja) – ovjeren u Službi za opću upravu/kod notara,</w:t>
      </w:r>
    </w:p>
    <w:p w:rsidR="007F0AE2" w:rsidRPr="007F0AE2" w:rsidRDefault="007F0AE2" w:rsidP="00473CA9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izjave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 o prihvatanju uslova participiranja na projektu implementacije mjera u cilju poboljšavanja energetske efikasnosti sa potpisima minimalno 75 % etažnih vlasnika zgrade – ovjerena od strane podnosioca prijave</w:t>
      </w:r>
      <w:r w:rsidR="00473CA9">
        <w:rPr>
          <w:rFonts w:ascii="Times New Roman" w:eastAsia="Times New Roman" w:hAnsi="Times New Roman" w:cs="Times New Roman"/>
          <w:color w:val="000000"/>
        </w:rPr>
        <w:t xml:space="preserve"> (pečat upravitelja ili odbora). </w:t>
      </w:r>
      <w:r w:rsidR="00473CA9" w:rsidRPr="00473CA9">
        <w:rPr>
          <w:rFonts w:ascii="Times New Roman" w:eastAsia="Times New Roman" w:hAnsi="Times New Roman" w:cs="Times New Roman"/>
          <w:color w:val="000000"/>
        </w:rPr>
        <w:t>Potpisi moraju biti vlastoručni, uz broj lične karte. Jedna osoba ne može potpisati više stanara, a predstavnik etažnih vlasnika svojom izjavom garantuje tačnost podataka.</w:t>
      </w:r>
    </w:p>
    <w:p w:rsidR="007F0AE2" w:rsidRPr="007F0AE2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Dostavljanje izjave 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o tačnosti podataka – potpisana od strane predstavnika etažnih vlasnika i ovjerena od strane Službe za opću upravu ili notara, </w:t>
      </w:r>
    </w:p>
    <w:p w:rsidR="007F0AE2" w:rsidRPr="00473CA9" w:rsidRDefault="007F0AE2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 posjeduju p</w:t>
      </w:r>
      <w:r w:rsidRPr="007F0AE2">
        <w:rPr>
          <w:rFonts w:ascii="Times New Roman" w:eastAsia="Times New Roman" w:hAnsi="Times New Roman" w:cs="Times New Roman"/>
          <w:color w:val="000000"/>
        </w:rPr>
        <w:t xml:space="preserve">redmjer i predračun radova izrađen od strane izvođača radova/upravitelja, sa jasno naznačenim iznosom traženih sredstava za sufinansiranje od strane Grada Zenica (sufinasiranje Grada do 50% na ukupne radove, a u skladu sa raspoloživim sredstvima). </w:t>
      </w:r>
      <w:r w:rsidRPr="00473CA9">
        <w:rPr>
          <w:rFonts w:ascii="Times New Roman" w:eastAsia="Times New Roman" w:hAnsi="Times New Roman" w:cs="Times New Roman"/>
          <w:b/>
          <w:color w:val="000000"/>
        </w:rPr>
        <w:t xml:space="preserve">Predmjer treba da sadrži sve pripremne radnje kako bi se postigla energetska efikasnost (ugradnja izolacionog materijala, obrada klupica, limenih opšava, oluci, demontaža i ponovna montaža klima i sl.). </w:t>
      </w:r>
      <w:bookmarkStart w:id="0" w:name="_GoBack"/>
      <w:bookmarkEnd w:id="0"/>
    </w:p>
    <w:p w:rsidR="007F0AE2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F0AE2">
        <w:rPr>
          <w:rFonts w:ascii="Times New Roman" w:eastAsia="Times New Roman" w:hAnsi="Times New Roman" w:cs="Times New Roman"/>
          <w:b/>
          <w:color w:val="000000"/>
        </w:rPr>
        <w:t>PREPORUKA:</w:t>
      </w:r>
      <w:r>
        <w:rPr>
          <w:rFonts w:ascii="Times New Roman" w:eastAsia="Times New Roman" w:hAnsi="Times New Roman" w:cs="Times New Roman"/>
          <w:color w:val="000000"/>
        </w:rPr>
        <w:t xml:space="preserve"> U cilju postizanja bolje cijene i kvaliteta pristiglih ponuda, Odborima etažnih vlasnika savjetujemo da prikupe najmanje 3 ponude. Orijentacije radi cijena postavljanja termo-izolacione fasade od stiropora iznoci cca 40 KM/m</w:t>
      </w:r>
      <w:r w:rsidRPr="007F0AE2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 bez popratnih radova. </w:t>
      </w:r>
    </w:p>
    <w:p w:rsidR="007F0AE2" w:rsidRPr="007F0AE2" w:rsidRDefault="007F0AE2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</w:rPr>
      </w:pPr>
    </w:p>
    <w:p w:rsidR="007F0AE2" w:rsidRDefault="006C7495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Grad Zenica sufinansira dio radova koji se odnose na postavljanje termo- izolacione fasade od stiropora. Ukoliko stanari žele postavljanje kamene vune oko prozora ili na višim spratovima, razliku mogu sufinansirati sopstvenim sredstvima. </w:t>
      </w:r>
    </w:p>
    <w:p w:rsidR="0018472F" w:rsidRPr="0018472F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F0AE2" w:rsidRDefault="0018472F" w:rsidP="007F0AE2">
      <w:pPr>
        <w:pStyle w:val="ListParagraph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Dostavljanje fotografija</w:t>
      </w:r>
      <w:r w:rsidR="007F0AE2" w:rsidRPr="007F0AE2">
        <w:rPr>
          <w:rFonts w:ascii="Times New Roman" w:eastAsia="Times New Roman" w:hAnsi="Times New Roman" w:cs="Times New Roman"/>
          <w:color w:val="000000"/>
        </w:rPr>
        <w:t xml:space="preserve"> izgleda sve 4 strane objekta u koloru (za oba LOT-a) i fotografije izgleda krova (u slučaju prijave na LOT 2).</w:t>
      </w:r>
    </w:p>
    <w:p w:rsidR="0018472F" w:rsidRPr="007F0AE2" w:rsidRDefault="0018472F" w:rsidP="0018472F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 slučaju prijave samo na LOT 1 nije potrebno dostavljanje </w:t>
      </w:r>
      <w:r w:rsidR="00157A5B">
        <w:rPr>
          <w:rFonts w:ascii="Times New Roman" w:eastAsia="Times New Roman" w:hAnsi="Times New Roman" w:cs="Times New Roman"/>
          <w:color w:val="000000"/>
        </w:rPr>
        <w:t xml:space="preserve">fotografija izgleda krova. </w:t>
      </w:r>
    </w:p>
    <w:p w:rsidR="000D7A41" w:rsidRDefault="000D7A41" w:rsidP="007F0AE2">
      <w:pPr>
        <w:pStyle w:val="ListParagraph"/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bs-Latn-BA"/>
        </w:rPr>
        <w:t xml:space="preserve">             </w:t>
      </w:r>
    </w:p>
    <w:p w:rsidR="00FB549B" w:rsidRDefault="00FB549B"/>
    <w:sectPr w:rsidR="00FB549B" w:rsidSect="008E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3C"/>
    <w:rsid w:val="00016952"/>
    <w:rsid w:val="000D7A41"/>
    <w:rsid w:val="00157A5B"/>
    <w:rsid w:val="0018472F"/>
    <w:rsid w:val="001C5C3C"/>
    <w:rsid w:val="0027541A"/>
    <w:rsid w:val="00452647"/>
    <w:rsid w:val="00473CA9"/>
    <w:rsid w:val="006C7495"/>
    <w:rsid w:val="00776641"/>
    <w:rsid w:val="007F0AE2"/>
    <w:rsid w:val="008E380B"/>
    <w:rsid w:val="00AF4741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217B"/>
  <w15:chartTrackingRefBased/>
  <w15:docId w15:val="{B50F343E-E00E-442A-9FCA-787254EB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41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41"/>
    <w:pPr>
      <w:ind w:left="720"/>
      <w:contextualSpacing/>
    </w:pPr>
  </w:style>
  <w:style w:type="table" w:styleId="TableGrid">
    <w:name w:val="Table Grid"/>
    <w:basedOn w:val="TableNormal"/>
    <w:uiPriority w:val="59"/>
    <w:rsid w:val="000D7A4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Jakuta Imširović</cp:lastModifiedBy>
  <cp:revision>9</cp:revision>
  <dcterms:created xsi:type="dcterms:W3CDTF">2019-04-09T06:34:00Z</dcterms:created>
  <dcterms:modified xsi:type="dcterms:W3CDTF">2021-04-29T06:39:00Z</dcterms:modified>
</cp:coreProperties>
</file>