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Obezbjeđivanje finansijskog udjela u iznosu predviđenom u projektu prema troškovniku radova odabranog projekta (ne više od 50 % vrijednosti projekta),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D7A41" w:rsidRDefault="000D7A41" w:rsidP="000D7A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</w:rPr>
        <w:t xml:space="preserve">Komisija će razmatrati projekte zaprimljene na osnovu javnog poziva, cijeniti ispunjenost zahtjeva i kriterija za odobravanje, te zapisnik s obrazloženom ocjenom i mišljenjem dostaviti Gradonačelniku koji će donjeti </w:t>
      </w:r>
      <w:r>
        <w:rPr>
          <w:rFonts w:ascii="Times New Roman" w:eastAsia="Times New Roman" w:hAnsi="Times New Roman" w:cs="Times New Roman"/>
          <w:lang w:eastAsia="bs-Latn-BA"/>
        </w:rPr>
        <w:t>Odluku o odobravanju i dodjeli sredstava namijenjenih finansiranju troškova.</w:t>
      </w:r>
    </w:p>
    <w:p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50 godina –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40 godina – 10 bodova,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od 30 godina –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60 -70 posto -20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70 -80 posto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50-60 posto  - 5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60-70 posto  - 10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70-80 posto  - 15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80 posto  - 20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- Posjedovanje energetskog audita (5 bodova):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posjeduje izrađen energetski audit - 5 bodova.</w:t>
      </w:r>
    </w:p>
    <w:p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</w:p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0D7A41" w:rsidTr="000D7A41">
        <w:tc>
          <w:tcPr>
            <w:tcW w:w="4644" w:type="dxa"/>
            <w:hideMark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LOT 2.</w:t>
            </w:r>
          </w:p>
        </w:tc>
      </w:tr>
      <w:tr w:rsidR="000D7A41" w:rsidTr="000D7A41">
        <w:tc>
          <w:tcPr>
            <w:tcW w:w="4644" w:type="dxa"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Lokacija zgrade sa azbestnim krovom (10     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-Zgrada u centru grada –  10 bodova,</w:t>
            </w:r>
          </w:p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Zgrada izvan centra grada - 0 bodova.</w:t>
            </w:r>
          </w:p>
        </w:tc>
      </w:tr>
    </w:tbl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t>Rok prikupljanja sredstava kojim stanari sufinanciraju projekt izrade termo fasade na svojoj zgradi, je 30 dana od dana odabira objekta zajedničkog stanovanja za koji će se vršiti implementacija projekta.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:rsidR="000D7A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Dostavljanje izjave o učešću u projektu utopljavanja zgrade koju potpisuje predstavnik stanara i minimalno 75 % etažnih vlasnika stanova u kojoj se obavezuju na ugovoreni rok obezbjeđenja sredstava sufinansiranja od dana odabira. Svi etažni vlasnici prijavljenog objekta za sanaciju moraju biti suglasni za sufinansiranje.</w:t>
      </w:r>
    </w:p>
    <w:p w:rsidR="000D7A41" w:rsidRDefault="000D7A41" w:rsidP="000D7A41">
      <w:pPr>
        <w:pStyle w:val="ListParagraph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hAnsi="Times New Roman" w:cs="Times New Roman"/>
        </w:rPr>
        <w:lastRenderedPageBreak/>
        <w:t>Dostavljanje certifikata o registraciji za obavljanje djelatnosti održavanja zgrade, te Ugovora o održavanju sklopljen sa etažnim vlasnicima (upravitelj),</w:t>
      </w:r>
    </w:p>
    <w:p w:rsidR="000D7A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Dostavljanje popunjenog obrasca za prijavu,</w:t>
      </w:r>
    </w:p>
    <w:p w:rsidR="000D7A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Da posjeduju predmjer i predračun radova izrađen od strane izvođača radova/upravitelja, </w:t>
      </w:r>
      <w:r>
        <w:rPr>
          <w:rFonts w:ascii="Times New Roman" w:hAnsi="Times New Roman" w:cs="Times New Roman"/>
        </w:rPr>
        <w:t xml:space="preserve">Predračun treba da ima  naznačen iznos  sredstava za sufinasiranje koji se traže od Grada (do 50% na ukupne radove), a u skladu sa raspoloživim sredstvima. </w:t>
      </w:r>
      <w:r>
        <w:rPr>
          <w:rFonts w:ascii="Times New Roman" w:eastAsia="Times New Roman" w:hAnsi="Times New Roman" w:cs="Times New Roman"/>
          <w:lang w:eastAsia="bs-Latn-BA"/>
        </w:rPr>
        <w:t xml:space="preserve">                      </w:t>
      </w:r>
    </w:p>
    <w:p w:rsidR="00FB549B" w:rsidRDefault="00FB549B">
      <w:bookmarkStart w:id="0" w:name="_GoBack"/>
      <w:bookmarkEnd w:id="0"/>
    </w:p>
    <w:sectPr w:rsidR="00FB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3C"/>
    <w:rsid w:val="000D7A41"/>
    <w:rsid w:val="001C5C3C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Jakuta Imširović</cp:lastModifiedBy>
  <cp:revision>2</cp:revision>
  <dcterms:created xsi:type="dcterms:W3CDTF">2019-04-09T06:34:00Z</dcterms:created>
  <dcterms:modified xsi:type="dcterms:W3CDTF">2019-04-09T06:34:00Z</dcterms:modified>
</cp:coreProperties>
</file>